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E35" w:rsidRDefault="00AE6E35" w:rsidP="00AE6E35">
      <w:pPr>
        <w:rPr>
          <w:bCs/>
          <w:sz w:val="24"/>
          <w:szCs w:val="24"/>
          <w:lang w:val="sr-Latn-RS"/>
        </w:rPr>
      </w:pPr>
      <w:r>
        <w:rPr>
          <w:b/>
          <w:bCs/>
          <w:sz w:val="24"/>
          <w:szCs w:val="24"/>
          <w:lang w:val="en-US"/>
        </w:rPr>
        <w:t>Chart</w:t>
      </w:r>
      <w:r w:rsidRPr="005239AA">
        <w:rPr>
          <w:b/>
          <w:bCs/>
          <w:sz w:val="24"/>
          <w:szCs w:val="24"/>
          <w:lang w:val="sr-Cyrl-CS"/>
        </w:rPr>
        <w:t xml:space="preserve"> 5.</w:t>
      </w:r>
      <w:r>
        <w:rPr>
          <w:b/>
          <w:bCs/>
          <w:sz w:val="24"/>
          <w:szCs w:val="24"/>
          <w:lang w:val="en-US"/>
        </w:rPr>
        <w:t>1</w:t>
      </w:r>
      <w:r w:rsidRPr="005239AA">
        <w:rPr>
          <w:b/>
          <w:bCs/>
          <w:sz w:val="24"/>
          <w:szCs w:val="24"/>
          <w:lang w:val="sr-Cyrl-CS"/>
        </w:rPr>
        <w:t xml:space="preserve"> </w:t>
      </w:r>
      <w:r>
        <w:rPr>
          <w:bCs/>
          <w:sz w:val="24"/>
          <w:szCs w:val="24"/>
          <w:lang w:val="en-US"/>
        </w:rPr>
        <w:t>Course specification</w:t>
      </w:r>
      <w:r w:rsidRPr="005239AA">
        <w:rPr>
          <w:bCs/>
          <w:sz w:val="24"/>
          <w:szCs w:val="24"/>
          <w:lang w:val="sr-Cyrl-CS"/>
        </w:rPr>
        <w:t xml:space="preserve"> </w:t>
      </w:r>
    </w:p>
    <w:p w:rsidR="00AE6E35" w:rsidRPr="00BD2900" w:rsidRDefault="00AE6E35" w:rsidP="00AE6E35">
      <w:pPr>
        <w:rPr>
          <w:bCs/>
          <w:sz w:val="24"/>
          <w:szCs w:val="24"/>
          <w:lang w:val="sr-Latn-RS"/>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6"/>
        <w:gridCol w:w="1565"/>
        <w:gridCol w:w="1895"/>
        <w:gridCol w:w="1809"/>
      </w:tblGrid>
      <w:tr w:rsidR="00AE6E35" w:rsidRPr="00AE6E35" w:rsidTr="00AE6E35">
        <w:tc>
          <w:tcPr>
            <w:tcW w:w="9795" w:type="dxa"/>
            <w:gridSpan w:val="4"/>
          </w:tcPr>
          <w:p w:rsidR="00AE6E35" w:rsidRPr="007E7596" w:rsidRDefault="00AE6E35" w:rsidP="00373F02">
            <w:pPr>
              <w:rPr>
                <w:sz w:val="18"/>
                <w:szCs w:val="18"/>
                <w:lang w:val="sl-SI"/>
              </w:rPr>
            </w:pPr>
            <w:r w:rsidRPr="007E7596">
              <w:rPr>
                <w:b/>
                <w:bCs/>
                <w:sz w:val="18"/>
                <w:szCs w:val="18"/>
                <w:lang w:val="en-US"/>
              </w:rPr>
              <w:t xml:space="preserve">Title of the course: </w:t>
            </w:r>
            <w:r w:rsidRPr="007E7596">
              <w:rPr>
                <w:b/>
                <w:bCs/>
                <w:sz w:val="18"/>
                <w:szCs w:val="18"/>
                <w:lang w:val="en-US"/>
              </w:rPr>
              <w:t>Special Clinical Pharmacology</w:t>
            </w:r>
          </w:p>
        </w:tc>
      </w:tr>
      <w:tr w:rsidR="00AE6E35" w:rsidRPr="00AE6E35" w:rsidTr="00AE6E35">
        <w:tc>
          <w:tcPr>
            <w:tcW w:w="9795" w:type="dxa"/>
            <w:gridSpan w:val="4"/>
          </w:tcPr>
          <w:p w:rsidR="00AE6E35" w:rsidRPr="007E7596" w:rsidRDefault="00AE6E35" w:rsidP="007E7596">
            <w:pPr>
              <w:widowControl/>
              <w:autoSpaceDE/>
              <w:autoSpaceDN/>
              <w:adjustRightInd/>
              <w:jc w:val="both"/>
              <w:rPr>
                <w:sz w:val="18"/>
                <w:szCs w:val="18"/>
                <w:lang w:val="sr-Latn-RS"/>
              </w:rPr>
            </w:pPr>
            <w:r w:rsidRPr="007E7596">
              <w:rPr>
                <w:b/>
                <w:bCs/>
                <w:sz w:val="18"/>
                <w:szCs w:val="18"/>
                <w:lang w:val="en-US"/>
              </w:rPr>
              <w:t>Teacher</w:t>
            </w:r>
            <w:r w:rsidRPr="007E7596">
              <w:rPr>
                <w:b/>
                <w:bCs/>
                <w:sz w:val="18"/>
                <w:szCs w:val="18"/>
                <w:lang w:val="ru-RU"/>
              </w:rPr>
              <w:t xml:space="preserve"> (</w:t>
            </w:r>
            <w:r w:rsidRPr="007E7596">
              <w:rPr>
                <w:b/>
                <w:bCs/>
                <w:sz w:val="18"/>
                <w:szCs w:val="18"/>
                <w:lang w:val="en-US"/>
              </w:rPr>
              <w:t>Family name, the first name</w:t>
            </w:r>
            <w:r w:rsidRPr="007E7596">
              <w:rPr>
                <w:sz w:val="18"/>
                <w:szCs w:val="18"/>
                <w:lang w:val="ru-RU"/>
              </w:rPr>
              <w:t>)</w:t>
            </w:r>
            <w:r w:rsidRPr="007E7596">
              <w:rPr>
                <w:b/>
                <w:bCs/>
                <w:sz w:val="18"/>
                <w:szCs w:val="18"/>
                <w:lang w:val="sr-Cyrl-CS"/>
              </w:rPr>
              <w:t>:</w:t>
            </w:r>
            <w:r w:rsidRPr="007E7596">
              <w:rPr>
                <w:sz w:val="18"/>
                <w:szCs w:val="18"/>
              </w:rPr>
              <w:t xml:space="preserve"> </w:t>
            </w:r>
            <w:r w:rsidRPr="007E7596">
              <w:rPr>
                <w:b/>
                <w:sz w:val="18"/>
                <w:szCs w:val="18"/>
              </w:rPr>
              <w:t>Professor Zoran Todorović, MD, PhD (Course coordinator),</w:t>
            </w:r>
            <w:r w:rsidRPr="007E7596">
              <w:rPr>
                <w:sz w:val="18"/>
                <w:szCs w:val="18"/>
              </w:rPr>
              <w:t xml:space="preserve"> Professor Nina Japundžić-Žigon, MD, PhD, Professor Dragan Obradović, MD, PhD, Professor Ljiljana C. Gojković-Bukarica, MD, PhD, Professor Sonja Vučković, MD, PhD, </w:t>
            </w:r>
            <w:r w:rsidR="007E7596" w:rsidRPr="007E7596">
              <w:rPr>
                <w:sz w:val="18"/>
                <w:szCs w:val="18"/>
              </w:rPr>
              <w:t xml:space="preserve">Professor Miroslav Radenković, MD, PhD, Professor Milica Bajčetić, MD, PhD, Professor Radan M. Stojanović, MD, PhD, Professor Zorica I. Nešić, MD, PhD, Professor Maja Lozić, MD, PhD, Professor Nevena V. Divac, Professor Gordana Dragović-Lukić, MD, PhD, Professor Saša M. Trailović (Faculty of Veterinary medicine, University of Belgrade), Professor Dragoslav Sokić, MD, PhD, Professor Jelena Drulović, MD, PhD, Professor Nikola Vojvodić, MD, PhD, Professor Nataša Cerovac, MD, PhD, Professor Dragana Protić, MD, PhD, Professor Janko Samardžić, MD, PhD, Professor Katarina Savić-Vujović, MD, PhD, Professor Jasna Zidverc Trajković, MS, PhD, Professor Miloš Korać, MD, PhD, Professor Djuro Macut, MD, PhD, Professor Dragomir Marisavljević, MD, PhD (Faculty of Pharmacy, University of Belgrade), Assistant Proffesor Dejan Budimirović (visiting </w:t>
            </w:r>
            <w:r w:rsidR="007E7596">
              <w:rPr>
                <w:sz w:val="18"/>
                <w:szCs w:val="18"/>
              </w:rPr>
              <w:t>professor</w:t>
            </w:r>
            <w:r w:rsidR="007E7596" w:rsidRPr="007E7596">
              <w:rPr>
                <w:sz w:val="18"/>
                <w:szCs w:val="18"/>
              </w:rPr>
              <w:t xml:space="preserve"> Faculty </w:t>
            </w:r>
            <w:r w:rsidR="007E7596">
              <w:rPr>
                <w:sz w:val="18"/>
                <w:szCs w:val="18"/>
              </w:rPr>
              <w:t>of M</w:t>
            </w:r>
            <w:r w:rsidR="007E7596" w:rsidRPr="007E7596">
              <w:rPr>
                <w:sz w:val="18"/>
                <w:szCs w:val="18"/>
              </w:rPr>
              <w:t xml:space="preserve">edicine, University of Belgrade; </w:t>
            </w:r>
            <w:r w:rsidR="007E7596" w:rsidRPr="007E7596">
              <w:rPr>
                <w:sz w:val="18"/>
                <w:szCs w:val="18"/>
              </w:rPr>
              <w:t>Kennedy Krieger Institute, Johns Hopkins University School of Medicine, Baltimore, MD, USA</w:t>
            </w:r>
            <w:r w:rsidR="007E7596" w:rsidRPr="007E7596">
              <w:rPr>
                <w:sz w:val="18"/>
                <w:szCs w:val="18"/>
              </w:rPr>
              <w:t>)</w:t>
            </w:r>
          </w:p>
        </w:tc>
      </w:tr>
      <w:tr w:rsidR="00AE6E35" w:rsidRPr="00AE6E35" w:rsidTr="00AE6E35">
        <w:tc>
          <w:tcPr>
            <w:tcW w:w="9795" w:type="dxa"/>
            <w:gridSpan w:val="4"/>
          </w:tcPr>
          <w:p w:rsidR="00AE6E35" w:rsidRPr="007E7596" w:rsidRDefault="00AE6E35" w:rsidP="00AE6E35">
            <w:pPr>
              <w:rPr>
                <w:sz w:val="18"/>
                <w:szCs w:val="18"/>
                <w:lang w:val="ru-RU"/>
              </w:rPr>
            </w:pPr>
            <w:r w:rsidRPr="007E7596">
              <w:rPr>
                <w:bCs/>
                <w:sz w:val="18"/>
                <w:szCs w:val="18"/>
                <w:lang w:val="en-US"/>
              </w:rPr>
              <w:t>Status of the course</w:t>
            </w:r>
            <w:r w:rsidRPr="007E7596">
              <w:rPr>
                <w:bCs/>
                <w:sz w:val="18"/>
                <w:szCs w:val="18"/>
                <w:lang w:val="sr-Cyrl-CS"/>
              </w:rPr>
              <w:t>:</w:t>
            </w:r>
            <w:r w:rsidRPr="007E7596">
              <w:rPr>
                <w:sz w:val="18"/>
                <w:szCs w:val="18"/>
              </w:rPr>
              <w:t xml:space="preserve"> </w:t>
            </w:r>
            <w:r w:rsidRPr="007E7596">
              <w:rPr>
                <w:sz w:val="18"/>
                <w:szCs w:val="18"/>
              </w:rPr>
              <w:t>Compulsory</w:t>
            </w:r>
          </w:p>
        </w:tc>
      </w:tr>
      <w:tr w:rsidR="00AE6E35" w:rsidRPr="00AE6E35" w:rsidTr="00AE6E35">
        <w:tc>
          <w:tcPr>
            <w:tcW w:w="9795" w:type="dxa"/>
            <w:gridSpan w:val="4"/>
          </w:tcPr>
          <w:p w:rsidR="00AE6E35" w:rsidRPr="007E7596" w:rsidRDefault="00AE6E35" w:rsidP="00373F02">
            <w:pPr>
              <w:rPr>
                <w:sz w:val="18"/>
                <w:szCs w:val="18"/>
                <w:lang w:val="en-GB"/>
              </w:rPr>
            </w:pPr>
            <w:r w:rsidRPr="007E7596">
              <w:rPr>
                <w:bCs/>
                <w:sz w:val="18"/>
                <w:szCs w:val="18"/>
                <w:lang w:val="en-US"/>
              </w:rPr>
              <w:t>Number of ECTS points</w:t>
            </w:r>
            <w:r w:rsidRPr="007E7596">
              <w:rPr>
                <w:bCs/>
                <w:sz w:val="18"/>
                <w:szCs w:val="18"/>
              </w:rPr>
              <w:t>:</w:t>
            </w:r>
            <w:r w:rsidRPr="007E7596">
              <w:rPr>
                <w:bCs/>
                <w:sz w:val="18"/>
                <w:szCs w:val="18"/>
                <w:lang w:val="sr-Cyrl-CS"/>
              </w:rPr>
              <w:t xml:space="preserve"> </w:t>
            </w:r>
            <w:r w:rsidRPr="007E7596">
              <w:rPr>
                <w:b/>
                <w:bCs/>
                <w:sz w:val="18"/>
                <w:szCs w:val="18"/>
                <w:lang w:val="en-GB"/>
              </w:rPr>
              <w:t>10</w:t>
            </w:r>
          </w:p>
        </w:tc>
      </w:tr>
      <w:tr w:rsidR="00AE6E35" w:rsidRPr="00AE6E35" w:rsidTr="00AE6E35">
        <w:tc>
          <w:tcPr>
            <w:tcW w:w="9795" w:type="dxa"/>
            <w:gridSpan w:val="4"/>
          </w:tcPr>
          <w:p w:rsidR="00AE6E35" w:rsidRPr="00AE6E35" w:rsidRDefault="00AE6E35" w:rsidP="00373F02">
            <w:pPr>
              <w:rPr>
                <w:bCs/>
                <w:sz w:val="18"/>
                <w:szCs w:val="18"/>
                <w:lang w:val="en-US"/>
              </w:rPr>
            </w:pPr>
            <w:r w:rsidRPr="00AE6E35">
              <w:rPr>
                <w:bCs/>
                <w:sz w:val="18"/>
                <w:szCs w:val="18"/>
                <w:lang w:val="en-US"/>
              </w:rPr>
              <w:t xml:space="preserve">Course prerequisites: </w:t>
            </w:r>
          </w:p>
        </w:tc>
      </w:tr>
      <w:tr w:rsidR="00AE6E35" w:rsidRPr="00AE6E35" w:rsidTr="00AE6E35">
        <w:tc>
          <w:tcPr>
            <w:tcW w:w="9795" w:type="dxa"/>
            <w:gridSpan w:val="4"/>
          </w:tcPr>
          <w:p w:rsidR="00AE6E35" w:rsidRPr="00AE6E35" w:rsidRDefault="00AE6E35" w:rsidP="00373F02">
            <w:pPr>
              <w:widowControl/>
              <w:autoSpaceDE/>
              <w:autoSpaceDN/>
              <w:adjustRightInd/>
              <w:rPr>
                <w:b/>
                <w:bCs/>
                <w:sz w:val="18"/>
                <w:szCs w:val="18"/>
                <w:lang w:val="sr-Cyrl-CS"/>
              </w:rPr>
            </w:pPr>
            <w:r w:rsidRPr="00AE6E35">
              <w:rPr>
                <w:b/>
                <w:bCs/>
                <w:sz w:val="18"/>
                <w:szCs w:val="18"/>
                <w:lang w:val="en-US"/>
              </w:rPr>
              <w:t>Objectives of the course</w:t>
            </w:r>
            <w:r w:rsidRPr="00AE6E35">
              <w:rPr>
                <w:b/>
                <w:bCs/>
                <w:sz w:val="18"/>
                <w:szCs w:val="18"/>
                <w:lang w:val="sr-Cyrl-CS"/>
              </w:rPr>
              <w:t xml:space="preserve"> </w:t>
            </w:r>
          </w:p>
          <w:p w:rsidR="00AE6E35" w:rsidRPr="00AE6E35" w:rsidRDefault="00AE6E35" w:rsidP="00373F02">
            <w:pPr>
              <w:widowControl/>
              <w:autoSpaceDE/>
              <w:autoSpaceDN/>
              <w:adjustRightInd/>
              <w:jc w:val="both"/>
              <w:rPr>
                <w:bCs/>
                <w:sz w:val="18"/>
                <w:szCs w:val="18"/>
                <w:lang w:val="sr-Cyrl-CS"/>
              </w:rPr>
            </w:pPr>
            <w:r w:rsidRPr="00AE6E35">
              <w:rPr>
                <w:bCs/>
                <w:sz w:val="18"/>
                <w:szCs w:val="18"/>
                <w:lang w:val="sr-Cyrl-CS"/>
              </w:rPr>
              <w:t>Understanding the molecular basis of diseases (eg cardiovascular and nervous system) and conditions (eg age). Understanding pharmacodynamic as well as pharmacokinetic processes in drug administration. Understanding toxicology in preclinical and clinical drug trials. Understanding all phases in clinical trials of drugs in order to rationally apply them, ie. application that must be evidence-based, meaning efficient, safe and economically justified.</w:t>
            </w:r>
          </w:p>
        </w:tc>
      </w:tr>
      <w:tr w:rsidR="00AE6E35" w:rsidRPr="00AE6E35" w:rsidTr="00AE6E35">
        <w:tc>
          <w:tcPr>
            <w:tcW w:w="9795" w:type="dxa"/>
            <w:gridSpan w:val="4"/>
          </w:tcPr>
          <w:p w:rsidR="00AE6E35" w:rsidRPr="00AE6E35" w:rsidRDefault="00AE6E35" w:rsidP="00373F02">
            <w:pPr>
              <w:widowControl/>
              <w:autoSpaceDE/>
              <w:autoSpaceDN/>
              <w:adjustRightInd/>
              <w:spacing w:before="60"/>
              <w:rPr>
                <w:b/>
                <w:bCs/>
                <w:sz w:val="18"/>
                <w:szCs w:val="18"/>
                <w:lang w:val="sr-Cyrl-CS"/>
              </w:rPr>
            </w:pPr>
            <w:r w:rsidRPr="00AE6E35">
              <w:rPr>
                <w:b/>
                <w:bCs/>
                <w:sz w:val="18"/>
                <w:szCs w:val="18"/>
                <w:lang w:val="en-US"/>
              </w:rPr>
              <w:t>Outcomes of the course</w:t>
            </w:r>
            <w:r w:rsidRPr="00AE6E35">
              <w:rPr>
                <w:b/>
                <w:bCs/>
                <w:sz w:val="18"/>
                <w:szCs w:val="18"/>
                <w:lang w:val="sr-Cyrl-CS"/>
              </w:rPr>
              <w:t xml:space="preserve"> </w:t>
            </w:r>
          </w:p>
          <w:p w:rsidR="00AE6E35" w:rsidRPr="00AE6E35" w:rsidRDefault="00AE6E35" w:rsidP="00373F02">
            <w:pPr>
              <w:widowControl/>
              <w:autoSpaceDE/>
              <w:autoSpaceDN/>
              <w:adjustRightInd/>
              <w:spacing w:before="60"/>
              <w:rPr>
                <w:bCs/>
                <w:sz w:val="18"/>
                <w:szCs w:val="18"/>
                <w:lang w:val="sr-Cyrl-CS"/>
              </w:rPr>
            </w:pPr>
            <w:r w:rsidRPr="00AE6E35">
              <w:rPr>
                <w:bCs/>
                <w:sz w:val="18"/>
                <w:szCs w:val="18"/>
                <w:lang w:val="sr-Cyrl-CS"/>
              </w:rPr>
              <w:t>Knowledge of processes in drug discovery and developme</w:t>
            </w:r>
            <w:r w:rsidR="007E7596">
              <w:rPr>
                <w:bCs/>
                <w:sz w:val="18"/>
                <w:szCs w:val="18"/>
                <w:lang w:val="sr-Cyrl-CS"/>
              </w:rPr>
              <w:t>nt.</w:t>
            </w:r>
            <w:r w:rsidR="007E7596">
              <w:rPr>
                <w:bCs/>
                <w:sz w:val="18"/>
                <w:szCs w:val="18"/>
                <w:lang w:val="sr-Cyrl-CS"/>
              </w:rPr>
              <w:br/>
            </w:r>
            <w:r w:rsidRPr="00AE6E35">
              <w:rPr>
                <w:bCs/>
                <w:sz w:val="18"/>
                <w:szCs w:val="18"/>
                <w:lang w:val="sr-Cyrl-CS"/>
              </w:rPr>
              <w:t>SAR (S</w:t>
            </w:r>
            <w:r w:rsidR="007E7596">
              <w:rPr>
                <w:bCs/>
                <w:sz w:val="18"/>
                <w:szCs w:val="18"/>
                <w:lang w:val="sr-Cyrl-CS"/>
              </w:rPr>
              <w:t>tructure-Activity Relationship)</w:t>
            </w:r>
            <w:r w:rsidR="007E7596">
              <w:rPr>
                <w:bCs/>
                <w:sz w:val="18"/>
                <w:szCs w:val="18"/>
                <w:lang w:val="sr-Cyrl-CS"/>
              </w:rPr>
              <w:br/>
            </w:r>
            <w:r w:rsidRPr="00AE6E35">
              <w:rPr>
                <w:bCs/>
                <w:sz w:val="18"/>
                <w:szCs w:val="18"/>
                <w:lang w:val="sr-Cyrl-CS"/>
              </w:rPr>
              <w:t>Knowledge of the molecular basis of the disease for the design of new and</w:t>
            </w:r>
            <w:r w:rsidR="007E7596">
              <w:rPr>
                <w:bCs/>
                <w:sz w:val="18"/>
                <w:szCs w:val="18"/>
                <w:lang w:val="sr-Cyrl-CS"/>
              </w:rPr>
              <w:t xml:space="preserve"> application of existing drugs.</w:t>
            </w:r>
            <w:r w:rsidR="007E7596">
              <w:rPr>
                <w:bCs/>
                <w:sz w:val="18"/>
                <w:szCs w:val="18"/>
                <w:lang w:val="sr-Cyrl-CS"/>
              </w:rPr>
              <w:br/>
            </w:r>
            <w:r w:rsidRPr="00AE6E35">
              <w:rPr>
                <w:bCs/>
                <w:sz w:val="18"/>
                <w:szCs w:val="18"/>
                <w:lang w:val="sr-Cyrl-CS"/>
              </w:rPr>
              <w:t>Knowledge of all phas</w:t>
            </w:r>
            <w:r w:rsidR="007E7596">
              <w:rPr>
                <w:bCs/>
                <w:sz w:val="18"/>
                <w:szCs w:val="18"/>
                <w:lang w:val="sr-Cyrl-CS"/>
              </w:rPr>
              <w:t>es of preclinical drug testing.</w:t>
            </w:r>
            <w:r w:rsidR="007E7596">
              <w:rPr>
                <w:bCs/>
                <w:sz w:val="18"/>
                <w:szCs w:val="18"/>
                <w:lang w:val="sr-Cyrl-CS"/>
              </w:rPr>
              <w:br/>
            </w:r>
            <w:r w:rsidRPr="00AE6E35">
              <w:rPr>
                <w:bCs/>
                <w:sz w:val="18"/>
                <w:szCs w:val="18"/>
                <w:lang w:val="sr-Cyrl-CS"/>
              </w:rPr>
              <w:t>Knowledge of different approaches to pharmacokinetic / pharmacodynamic (PK / PD) data</w:t>
            </w:r>
            <w:r w:rsidR="007E7596">
              <w:rPr>
                <w:bCs/>
                <w:sz w:val="18"/>
                <w:szCs w:val="18"/>
                <w:lang w:val="sr-Cyrl-CS"/>
              </w:rPr>
              <w:t xml:space="preserve"> analysis and their evaluation.</w:t>
            </w:r>
            <w:r w:rsidR="007E7596">
              <w:rPr>
                <w:bCs/>
                <w:sz w:val="18"/>
                <w:szCs w:val="18"/>
                <w:lang w:val="sr-Cyrl-CS"/>
              </w:rPr>
              <w:br/>
            </w:r>
            <w:r w:rsidRPr="00AE6E35">
              <w:rPr>
                <w:bCs/>
                <w:sz w:val="18"/>
                <w:szCs w:val="18"/>
                <w:lang w:val="sr-Cyrl-CS"/>
              </w:rPr>
              <w:t>Knowledge of toxicology and interpretation</w:t>
            </w:r>
            <w:r w:rsidR="007E7596">
              <w:rPr>
                <w:bCs/>
                <w:sz w:val="18"/>
                <w:szCs w:val="18"/>
                <w:lang w:val="sr-Cyrl-CS"/>
              </w:rPr>
              <w:t xml:space="preserve"> of toxicological test results.</w:t>
            </w:r>
            <w:r w:rsidR="007E7596">
              <w:rPr>
                <w:bCs/>
                <w:sz w:val="18"/>
                <w:szCs w:val="18"/>
                <w:lang w:val="sr-Cyrl-CS"/>
              </w:rPr>
              <w:br/>
            </w:r>
            <w:bookmarkStart w:id="0" w:name="_GoBack"/>
            <w:bookmarkEnd w:id="0"/>
            <w:r w:rsidRPr="00AE6E35">
              <w:rPr>
                <w:bCs/>
                <w:sz w:val="18"/>
                <w:szCs w:val="18"/>
                <w:lang w:val="sr-Cyrl-CS"/>
              </w:rPr>
              <w:t>Knowledge of all phases in the complex evaluation of drug efficacy (eg clinical studies, meta-analysis, pharmacoepidemiology, etc.)</w:t>
            </w:r>
          </w:p>
        </w:tc>
      </w:tr>
      <w:tr w:rsidR="00AE6E35" w:rsidRPr="00AE6E35" w:rsidTr="00AE6E35">
        <w:tc>
          <w:tcPr>
            <w:tcW w:w="9795" w:type="dxa"/>
            <w:gridSpan w:val="4"/>
          </w:tcPr>
          <w:p w:rsidR="00AE6E35" w:rsidRPr="00AE6E35" w:rsidRDefault="00AE6E35" w:rsidP="00373F02">
            <w:pPr>
              <w:rPr>
                <w:b/>
                <w:bCs/>
                <w:sz w:val="18"/>
                <w:szCs w:val="18"/>
                <w:lang w:val="en-US"/>
              </w:rPr>
            </w:pPr>
            <w:r w:rsidRPr="00AE6E35">
              <w:rPr>
                <w:b/>
                <w:bCs/>
                <w:sz w:val="18"/>
                <w:szCs w:val="18"/>
                <w:lang w:val="en-US"/>
              </w:rPr>
              <w:t>Content of the course</w:t>
            </w:r>
          </w:p>
          <w:p w:rsidR="00AE6E35" w:rsidRPr="00AE6E35" w:rsidRDefault="00AE6E35" w:rsidP="00AE6E35">
            <w:pPr>
              <w:rPr>
                <w:bCs/>
                <w:sz w:val="18"/>
                <w:szCs w:val="18"/>
                <w:lang w:val="en-US"/>
              </w:rPr>
            </w:pPr>
            <w:r w:rsidRPr="00AE6E35">
              <w:rPr>
                <w:bCs/>
                <w:sz w:val="18"/>
                <w:szCs w:val="18"/>
                <w:lang w:val="en-US"/>
              </w:rPr>
              <w:t>Biological basis for the selection of optimal therapy for epilepsy, migraine, spasticity and involuntary movements</w:t>
            </w:r>
          </w:p>
          <w:p w:rsidR="00AE6E35" w:rsidRPr="00AE6E35" w:rsidRDefault="00AE6E35" w:rsidP="00AE6E35">
            <w:pPr>
              <w:rPr>
                <w:bCs/>
                <w:sz w:val="18"/>
                <w:szCs w:val="18"/>
                <w:lang w:val="en-US"/>
              </w:rPr>
            </w:pPr>
            <w:r w:rsidRPr="00AE6E35">
              <w:rPr>
                <w:bCs/>
                <w:sz w:val="18"/>
                <w:szCs w:val="18"/>
                <w:lang w:val="en-US"/>
              </w:rPr>
              <w:t>Biomarkers of oxidative stress</w:t>
            </w:r>
          </w:p>
          <w:p w:rsidR="00AE6E35" w:rsidRPr="00AE6E35" w:rsidRDefault="00AE6E35" w:rsidP="00AE6E35">
            <w:pPr>
              <w:rPr>
                <w:bCs/>
                <w:sz w:val="18"/>
                <w:szCs w:val="18"/>
                <w:lang w:val="en-US"/>
              </w:rPr>
            </w:pPr>
            <w:r w:rsidRPr="00AE6E35">
              <w:rPr>
                <w:bCs/>
                <w:sz w:val="18"/>
                <w:szCs w:val="18"/>
                <w:lang w:val="en-US"/>
              </w:rPr>
              <w:t>Significance of meta-analysis in clinical pharmacology</w:t>
            </w:r>
          </w:p>
          <w:p w:rsidR="00AE6E35" w:rsidRPr="00AE6E35" w:rsidRDefault="00AE6E35" w:rsidP="00AE6E35">
            <w:pPr>
              <w:rPr>
                <w:bCs/>
                <w:sz w:val="18"/>
                <w:szCs w:val="18"/>
                <w:lang w:val="en-US"/>
              </w:rPr>
            </w:pPr>
            <w:r w:rsidRPr="00AE6E35">
              <w:rPr>
                <w:bCs/>
                <w:sz w:val="18"/>
                <w:szCs w:val="18"/>
                <w:lang w:val="en-US"/>
              </w:rPr>
              <w:t>Significance of drug-activity relationships: SAR (Structure-Activity Relationship)</w:t>
            </w:r>
          </w:p>
          <w:p w:rsidR="00AE6E35" w:rsidRPr="00AE6E35" w:rsidRDefault="00AE6E35" w:rsidP="00AE6E35">
            <w:pPr>
              <w:rPr>
                <w:bCs/>
                <w:sz w:val="18"/>
                <w:szCs w:val="18"/>
                <w:lang w:val="en-US"/>
              </w:rPr>
            </w:pPr>
            <w:r w:rsidRPr="00AE6E35">
              <w:rPr>
                <w:bCs/>
                <w:sz w:val="18"/>
                <w:szCs w:val="18"/>
                <w:lang w:val="en-US"/>
              </w:rPr>
              <w:t>The importance of understanding the molecular basis of disease (</w:t>
            </w:r>
            <w:r w:rsidRPr="00AE6E35">
              <w:rPr>
                <w:bCs/>
                <w:sz w:val="18"/>
                <w:szCs w:val="18"/>
                <w:lang w:val="en-US"/>
              </w:rPr>
              <w:t>e.g.</w:t>
            </w:r>
            <w:r w:rsidRPr="00AE6E35">
              <w:rPr>
                <w:bCs/>
                <w:sz w:val="18"/>
                <w:szCs w:val="18"/>
                <w:lang w:val="en-US"/>
              </w:rPr>
              <w:t xml:space="preserve"> cardiovascular and nervous system) and conditions (</w:t>
            </w:r>
            <w:r w:rsidRPr="00AE6E35">
              <w:rPr>
                <w:bCs/>
                <w:sz w:val="18"/>
                <w:szCs w:val="18"/>
                <w:lang w:val="en-US"/>
              </w:rPr>
              <w:t>e.g.</w:t>
            </w:r>
            <w:r w:rsidRPr="00AE6E35">
              <w:rPr>
                <w:bCs/>
                <w:sz w:val="18"/>
                <w:szCs w:val="18"/>
                <w:lang w:val="en-US"/>
              </w:rPr>
              <w:t xml:space="preserve"> age)</w:t>
            </w:r>
          </w:p>
          <w:p w:rsidR="00AE6E35" w:rsidRPr="00AE6E35" w:rsidRDefault="00AE6E35" w:rsidP="00AE6E35">
            <w:pPr>
              <w:rPr>
                <w:bCs/>
                <w:sz w:val="18"/>
                <w:szCs w:val="18"/>
                <w:lang w:val="en-US"/>
              </w:rPr>
            </w:pPr>
            <w:r w:rsidRPr="00AE6E35">
              <w:rPr>
                <w:bCs/>
                <w:sz w:val="18"/>
                <w:szCs w:val="18"/>
                <w:lang w:val="en-US"/>
              </w:rPr>
              <w:t>Drug cardiotoxicity testing</w:t>
            </w:r>
          </w:p>
          <w:p w:rsidR="00AE6E35" w:rsidRPr="00AE6E35" w:rsidRDefault="00AE6E35" w:rsidP="00AE6E35">
            <w:pPr>
              <w:rPr>
                <w:bCs/>
                <w:sz w:val="18"/>
                <w:szCs w:val="18"/>
                <w:lang w:val="en-US"/>
              </w:rPr>
            </w:pPr>
            <w:r w:rsidRPr="00AE6E35">
              <w:rPr>
                <w:bCs/>
                <w:sz w:val="18"/>
                <w:szCs w:val="18"/>
                <w:lang w:val="en-US"/>
              </w:rPr>
              <w:t>Clinical pharmacology of pain</w:t>
            </w:r>
          </w:p>
          <w:p w:rsidR="00AE6E35" w:rsidRPr="00AE6E35" w:rsidRDefault="00AE6E35" w:rsidP="00AE6E35">
            <w:pPr>
              <w:rPr>
                <w:bCs/>
                <w:sz w:val="18"/>
                <w:szCs w:val="18"/>
                <w:lang w:val="en-US"/>
              </w:rPr>
            </w:pPr>
            <w:r w:rsidRPr="00AE6E35">
              <w:rPr>
                <w:bCs/>
                <w:sz w:val="18"/>
                <w:szCs w:val="18"/>
                <w:lang w:val="en-US"/>
              </w:rPr>
              <w:t>Clinical pharmacology of benzodiazepines: from molecular mechanisms of action, pharmacological effect and therapeutic application</w:t>
            </w:r>
          </w:p>
          <w:p w:rsidR="00AE6E35" w:rsidRPr="00AE6E35" w:rsidRDefault="00AE6E35" w:rsidP="00AE6E35">
            <w:pPr>
              <w:rPr>
                <w:bCs/>
                <w:sz w:val="18"/>
                <w:szCs w:val="18"/>
                <w:lang w:val="en-US"/>
              </w:rPr>
            </w:pPr>
            <w:r w:rsidRPr="00AE6E35">
              <w:rPr>
                <w:bCs/>
                <w:sz w:val="18"/>
                <w:szCs w:val="18"/>
                <w:lang w:val="en-US"/>
              </w:rPr>
              <w:t>Clinical pharmacology of antidepressants</w:t>
            </w:r>
          </w:p>
          <w:p w:rsidR="00AE6E35" w:rsidRPr="00AE6E35" w:rsidRDefault="00AE6E35" w:rsidP="00AE6E35">
            <w:pPr>
              <w:rPr>
                <w:bCs/>
                <w:sz w:val="18"/>
                <w:szCs w:val="18"/>
                <w:lang w:val="en-US"/>
              </w:rPr>
            </w:pPr>
            <w:r w:rsidRPr="00AE6E35">
              <w:rPr>
                <w:bCs/>
                <w:sz w:val="18"/>
                <w:szCs w:val="18"/>
                <w:lang w:val="en-US"/>
              </w:rPr>
              <w:t>Clinical pharmacology of antipsychotics</w:t>
            </w:r>
          </w:p>
          <w:p w:rsidR="00AE6E35" w:rsidRPr="00AE6E35" w:rsidRDefault="00AE6E35" w:rsidP="00AE6E35">
            <w:pPr>
              <w:rPr>
                <w:bCs/>
                <w:sz w:val="18"/>
                <w:szCs w:val="18"/>
                <w:lang w:val="en-US"/>
              </w:rPr>
            </w:pPr>
            <w:r w:rsidRPr="00AE6E35">
              <w:rPr>
                <w:bCs/>
                <w:sz w:val="18"/>
                <w:szCs w:val="18"/>
                <w:lang w:val="en-US"/>
              </w:rPr>
              <w:t>Complex evaluation of drug efficacy: from molecules to toxicology and clinical trials</w:t>
            </w:r>
          </w:p>
          <w:p w:rsidR="00AE6E35" w:rsidRPr="00AE6E35" w:rsidRDefault="00AE6E35" w:rsidP="00AE6E35">
            <w:pPr>
              <w:rPr>
                <w:bCs/>
                <w:sz w:val="18"/>
                <w:szCs w:val="18"/>
                <w:lang w:val="en-US"/>
              </w:rPr>
            </w:pPr>
            <w:r w:rsidRPr="00AE6E35">
              <w:rPr>
                <w:bCs/>
                <w:sz w:val="18"/>
                <w:szCs w:val="18"/>
                <w:lang w:val="en-US"/>
              </w:rPr>
              <w:t>Drugs and QT interval</w:t>
            </w:r>
          </w:p>
          <w:p w:rsidR="00AE6E35" w:rsidRPr="00AE6E35" w:rsidRDefault="00AE6E35" w:rsidP="00AE6E35">
            <w:pPr>
              <w:rPr>
                <w:bCs/>
                <w:sz w:val="18"/>
                <w:szCs w:val="18"/>
                <w:lang w:val="en-US"/>
              </w:rPr>
            </w:pPr>
            <w:r w:rsidRPr="00AE6E35">
              <w:rPr>
                <w:bCs/>
                <w:sz w:val="18"/>
                <w:szCs w:val="18"/>
                <w:lang w:val="en-US"/>
              </w:rPr>
              <w:t>Medical pharmacology and translational medicine</w:t>
            </w:r>
          </w:p>
          <w:p w:rsidR="00AE6E35" w:rsidRPr="00AE6E35" w:rsidRDefault="00AE6E35" w:rsidP="00AE6E35">
            <w:pPr>
              <w:rPr>
                <w:bCs/>
                <w:sz w:val="18"/>
                <w:szCs w:val="18"/>
                <w:lang w:val="en-US"/>
              </w:rPr>
            </w:pPr>
            <w:r w:rsidRPr="00AE6E35">
              <w:rPr>
                <w:bCs/>
                <w:sz w:val="18"/>
                <w:szCs w:val="18"/>
                <w:lang w:val="en-US"/>
              </w:rPr>
              <w:t>Mechanism of occurrence and pharmacotherapy of headaches</w:t>
            </w:r>
          </w:p>
          <w:p w:rsidR="00AE6E35" w:rsidRPr="00AE6E35" w:rsidRDefault="00AE6E35" w:rsidP="00AE6E35">
            <w:pPr>
              <w:rPr>
                <w:bCs/>
                <w:sz w:val="18"/>
                <w:szCs w:val="18"/>
                <w:lang w:val="en-US"/>
              </w:rPr>
            </w:pPr>
            <w:r w:rsidRPr="00AE6E35">
              <w:rPr>
                <w:bCs/>
                <w:sz w:val="18"/>
                <w:szCs w:val="18"/>
                <w:lang w:val="en-US"/>
              </w:rPr>
              <w:t>Molecular basis of neurological diseases</w:t>
            </w:r>
          </w:p>
          <w:p w:rsidR="00AE6E35" w:rsidRPr="00AE6E35" w:rsidRDefault="00AE6E35" w:rsidP="00AE6E35">
            <w:pPr>
              <w:rPr>
                <w:bCs/>
                <w:sz w:val="18"/>
                <w:szCs w:val="18"/>
                <w:lang w:val="en-US"/>
              </w:rPr>
            </w:pPr>
            <w:r w:rsidRPr="00AE6E35">
              <w:rPr>
                <w:bCs/>
                <w:sz w:val="18"/>
                <w:szCs w:val="18"/>
                <w:lang w:val="en-US"/>
              </w:rPr>
              <w:t>Molecular mechanisms of endothelial dysfunction and cardiovascular drugs</w:t>
            </w:r>
          </w:p>
          <w:p w:rsidR="00AE6E35" w:rsidRPr="00AE6E35" w:rsidRDefault="00AE6E35" w:rsidP="00AE6E35">
            <w:pPr>
              <w:rPr>
                <w:bCs/>
                <w:sz w:val="18"/>
                <w:szCs w:val="18"/>
                <w:lang w:val="en-US"/>
              </w:rPr>
            </w:pPr>
            <w:r w:rsidRPr="00AE6E35">
              <w:rPr>
                <w:bCs/>
                <w:sz w:val="18"/>
                <w:szCs w:val="18"/>
                <w:lang w:val="en-US"/>
              </w:rPr>
              <w:t>Neuroprotective therapy of hypoxic-ischemic encephalopathy</w:t>
            </w:r>
          </w:p>
          <w:p w:rsidR="00AE6E35" w:rsidRPr="00AE6E35" w:rsidRDefault="00AE6E35" w:rsidP="00AE6E35">
            <w:pPr>
              <w:rPr>
                <w:bCs/>
                <w:sz w:val="18"/>
                <w:szCs w:val="18"/>
                <w:lang w:val="en-US"/>
              </w:rPr>
            </w:pPr>
            <w:r w:rsidRPr="00AE6E35">
              <w:rPr>
                <w:bCs/>
                <w:sz w:val="18"/>
                <w:szCs w:val="18"/>
                <w:lang w:val="en-US"/>
              </w:rPr>
              <w:t>Nerve control of blood pressure and heart</w:t>
            </w:r>
          </w:p>
          <w:p w:rsidR="00AE6E35" w:rsidRPr="00AE6E35" w:rsidRDefault="00AE6E35" w:rsidP="00AE6E35">
            <w:pPr>
              <w:rPr>
                <w:bCs/>
                <w:sz w:val="18"/>
                <w:szCs w:val="18"/>
                <w:lang w:val="en-US"/>
              </w:rPr>
            </w:pPr>
            <w:r w:rsidRPr="00AE6E35">
              <w:rPr>
                <w:bCs/>
                <w:sz w:val="18"/>
                <w:szCs w:val="18"/>
                <w:lang w:val="en-US"/>
              </w:rPr>
              <w:t>Neuromodulation and neuroprotection in multiple sclerosis</w:t>
            </w:r>
          </w:p>
          <w:p w:rsidR="00AE6E35" w:rsidRPr="00AE6E35" w:rsidRDefault="00AE6E35" w:rsidP="00AE6E35">
            <w:pPr>
              <w:rPr>
                <w:bCs/>
                <w:sz w:val="18"/>
                <w:szCs w:val="18"/>
                <w:lang w:val="en-US"/>
              </w:rPr>
            </w:pPr>
            <w:r w:rsidRPr="00AE6E35">
              <w:rPr>
                <w:bCs/>
                <w:sz w:val="18"/>
                <w:szCs w:val="18"/>
                <w:lang w:val="en-US"/>
              </w:rPr>
              <w:t>Personalized treatment and clinical pharmacogenetics: the right drug for the right patient.</w:t>
            </w:r>
          </w:p>
          <w:p w:rsidR="00AE6E35" w:rsidRPr="00AE6E35" w:rsidRDefault="00AE6E35" w:rsidP="00AE6E35">
            <w:pPr>
              <w:rPr>
                <w:bCs/>
                <w:sz w:val="18"/>
                <w:szCs w:val="18"/>
                <w:lang w:val="en-US"/>
              </w:rPr>
            </w:pPr>
            <w:r w:rsidRPr="00AE6E35">
              <w:rPr>
                <w:bCs/>
                <w:sz w:val="18"/>
                <w:szCs w:val="18"/>
                <w:lang w:val="en-US"/>
              </w:rPr>
              <w:t>Application of pharmacological tests in diagnosis (</w:t>
            </w:r>
            <w:proofErr w:type="spellStart"/>
            <w:r w:rsidRPr="00AE6E35">
              <w:rPr>
                <w:bCs/>
                <w:sz w:val="18"/>
                <w:szCs w:val="18"/>
                <w:lang w:val="en-US"/>
              </w:rPr>
              <w:t>eg</w:t>
            </w:r>
            <w:proofErr w:type="spellEnd"/>
            <w:r w:rsidRPr="00AE6E35">
              <w:rPr>
                <w:bCs/>
                <w:sz w:val="18"/>
                <w:szCs w:val="18"/>
                <w:lang w:val="en-US"/>
              </w:rPr>
              <w:t xml:space="preserve"> coronary heart disease)</w:t>
            </w:r>
          </w:p>
          <w:p w:rsidR="00AE6E35" w:rsidRPr="00AE6E35" w:rsidRDefault="00AE6E35" w:rsidP="00AE6E35">
            <w:pPr>
              <w:rPr>
                <w:bCs/>
                <w:sz w:val="18"/>
                <w:szCs w:val="18"/>
                <w:lang w:val="en-US"/>
              </w:rPr>
            </w:pPr>
            <w:r w:rsidRPr="00AE6E35">
              <w:rPr>
                <w:bCs/>
                <w:sz w:val="18"/>
                <w:szCs w:val="18"/>
                <w:lang w:val="en-US"/>
              </w:rPr>
              <w:t>Antiplatelet drug resistance</w:t>
            </w:r>
          </w:p>
          <w:p w:rsidR="00AE6E35" w:rsidRPr="00AE6E35" w:rsidRDefault="00AE6E35" w:rsidP="00AE6E35">
            <w:pPr>
              <w:rPr>
                <w:bCs/>
                <w:sz w:val="18"/>
                <w:szCs w:val="18"/>
                <w:lang w:val="en-US"/>
              </w:rPr>
            </w:pPr>
            <w:r w:rsidRPr="00AE6E35">
              <w:rPr>
                <w:bCs/>
                <w:sz w:val="18"/>
                <w:szCs w:val="18"/>
                <w:lang w:val="en-US"/>
              </w:rPr>
              <w:t xml:space="preserve">Development of herbal medicines and biocides based on active principles of essential vegetable oils: </w:t>
            </w:r>
            <w:proofErr w:type="spellStart"/>
            <w:r w:rsidRPr="00AE6E35">
              <w:rPr>
                <w:bCs/>
                <w:sz w:val="18"/>
                <w:szCs w:val="18"/>
                <w:lang w:val="en-US"/>
              </w:rPr>
              <w:t>monoterpenoids</w:t>
            </w:r>
            <w:proofErr w:type="spellEnd"/>
            <w:r w:rsidRPr="00AE6E35">
              <w:rPr>
                <w:bCs/>
                <w:sz w:val="18"/>
                <w:szCs w:val="18"/>
                <w:lang w:val="en-US"/>
              </w:rPr>
              <w:t xml:space="preserve"> and </w:t>
            </w:r>
            <w:proofErr w:type="spellStart"/>
            <w:r w:rsidRPr="00AE6E35">
              <w:rPr>
                <w:bCs/>
                <w:sz w:val="18"/>
                <w:szCs w:val="18"/>
                <w:lang w:val="en-US"/>
              </w:rPr>
              <w:t>phenylpropanoids</w:t>
            </w:r>
            <w:proofErr w:type="spellEnd"/>
            <w:r w:rsidRPr="00AE6E35">
              <w:rPr>
                <w:bCs/>
                <w:sz w:val="18"/>
                <w:szCs w:val="18"/>
                <w:lang w:val="en-US"/>
              </w:rPr>
              <w:t xml:space="preserve"> for use in human and veterinary medicine</w:t>
            </w:r>
          </w:p>
          <w:p w:rsidR="00AE6E35" w:rsidRPr="00AE6E35" w:rsidRDefault="00AE6E35" w:rsidP="00AE6E35">
            <w:pPr>
              <w:rPr>
                <w:bCs/>
                <w:sz w:val="18"/>
                <w:szCs w:val="18"/>
                <w:lang w:val="en-US"/>
              </w:rPr>
            </w:pPr>
            <w:r w:rsidRPr="00AE6E35">
              <w:rPr>
                <w:bCs/>
                <w:sz w:val="18"/>
                <w:szCs w:val="18"/>
                <w:lang w:val="en-US"/>
              </w:rPr>
              <w:t>Modern trends in the treatment of Clostridium difficile infection</w:t>
            </w:r>
          </w:p>
          <w:p w:rsidR="00AE6E35" w:rsidRPr="00AE6E35" w:rsidRDefault="00AE6E35" w:rsidP="00AE6E35">
            <w:pPr>
              <w:rPr>
                <w:bCs/>
                <w:sz w:val="18"/>
                <w:szCs w:val="18"/>
                <w:lang w:val="en-US"/>
              </w:rPr>
            </w:pPr>
            <w:r w:rsidRPr="00AE6E35">
              <w:rPr>
                <w:bCs/>
                <w:sz w:val="18"/>
                <w:szCs w:val="18"/>
                <w:lang w:val="en-US"/>
              </w:rPr>
              <w:t>Fragile X chromosome syndrome: the most common translation into clinical studies of all neurodevelopmental disorders</w:t>
            </w:r>
          </w:p>
          <w:p w:rsidR="00AE6E35" w:rsidRPr="00AE6E35" w:rsidRDefault="00AE6E35" w:rsidP="00AE6E35">
            <w:pPr>
              <w:rPr>
                <w:bCs/>
                <w:sz w:val="18"/>
                <w:szCs w:val="18"/>
                <w:lang w:val="en-US"/>
              </w:rPr>
            </w:pPr>
            <w:r w:rsidRPr="00AE6E35">
              <w:rPr>
                <w:bCs/>
                <w:sz w:val="18"/>
                <w:szCs w:val="18"/>
                <w:lang w:val="en-US"/>
              </w:rPr>
              <w:t>Strategy for improving pharmacotherapy in children and newborns</w:t>
            </w:r>
          </w:p>
          <w:p w:rsidR="00AE6E35" w:rsidRPr="00AE6E35" w:rsidRDefault="00AE6E35" w:rsidP="00AE6E35">
            <w:pPr>
              <w:rPr>
                <w:bCs/>
                <w:sz w:val="18"/>
                <w:szCs w:val="18"/>
                <w:lang w:val="en-US"/>
              </w:rPr>
            </w:pPr>
            <w:r w:rsidRPr="00AE6E35">
              <w:rPr>
                <w:bCs/>
                <w:sz w:val="18"/>
                <w:szCs w:val="18"/>
                <w:lang w:val="en-US"/>
              </w:rPr>
              <w:t xml:space="preserve">The role of the </w:t>
            </w:r>
            <w:r w:rsidRPr="00AE6E35">
              <w:rPr>
                <w:bCs/>
                <w:sz w:val="18"/>
                <w:szCs w:val="18"/>
                <w:lang w:val="en-US"/>
              </w:rPr>
              <w:t>glutamatergic</w:t>
            </w:r>
            <w:r w:rsidRPr="00AE6E35">
              <w:rPr>
                <w:bCs/>
                <w:sz w:val="18"/>
                <w:szCs w:val="18"/>
                <w:lang w:val="en-US"/>
              </w:rPr>
              <w:t xml:space="preserve"> and </w:t>
            </w:r>
            <w:proofErr w:type="spellStart"/>
            <w:r w:rsidRPr="00AE6E35">
              <w:rPr>
                <w:bCs/>
                <w:sz w:val="18"/>
                <w:szCs w:val="18"/>
                <w:lang w:val="en-US"/>
              </w:rPr>
              <w:t>opioidergic</w:t>
            </w:r>
            <w:proofErr w:type="spellEnd"/>
            <w:r w:rsidRPr="00AE6E35">
              <w:rPr>
                <w:bCs/>
                <w:sz w:val="18"/>
                <w:szCs w:val="18"/>
                <w:lang w:val="en-US"/>
              </w:rPr>
              <w:t xml:space="preserve"> systems in the control of body temperature and pain</w:t>
            </w:r>
          </w:p>
          <w:p w:rsidR="00AE6E35" w:rsidRPr="00AE6E35" w:rsidRDefault="00AE6E35" w:rsidP="00AE6E35">
            <w:pPr>
              <w:rPr>
                <w:sz w:val="18"/>
                <w:szCs w:val="18"/>
                <w:lang w:val="en-US"/>
              </w:rPr>
            </w:pPr>
            <w:r w:rsidRPr="00AE6E35">
              <w:rPr>
                <w:sz w:val="18"/>
                <w:szCs w:val="18"/>
                <w:lang w:val="en-US"/>
              </w:rPr>
              <w:t>The role of redox signals in directing responses within the cell</w:t>
            </w:r>
          </w:p>
          <w:p w:rsidR="00AE6E35" w:rsidRPr="00AE6E35" w:rsidRDefault="00AE6E35" w:rsidP="00AE6E35">
            <w:pPr>
              <w:rPr>
                <w:sz w:val="18"/>
                <w:szCs w:val="18"/>
                <w:lang w:val="en-US"/>
              </w:rPr>
            </w:pPr>
            <w:r w:rsidRPr="00AE6E35">
              <w:rPr>
                <w:sz w:val="18"/>
                <w:szCs w:val="18"/>
                <w:lang w:val="en-US"/>
              </w:rPr>
              <w:t>Influence of drugs on biochemical markers of ischemic-reperfusion damage</w:t>
            </w:r>
          </w:p>
          <w:p w:rsidR="00AE6E35" w:rsidRPr="00AE6E35" w:rsidRDefault="00AE6E35" w:rsidP="00AE6E35">
            <w:pPr>
              <w:rPr>
                <w:sz w:val="18"/>
                <w:szCs w:val="18"/>
                <w:lang w:val="en-US"/>
              </w:rPr>
            </w:pPr>
            <w:r w:rsidRPr="00AE6E35">
              <w:rPr>
                <w:sz w:val="18"/>
                <w:szCs w:val="18"/>
                <w:lang w:val="en-US"/>
              </w:rPr>
              <w:t>Influence of habits in prescribing antimicrobial drugs on the occurrence of multidrug-resistant pathogens in the hospital environment</w:t>
            </w:r>
          </w:p>
          <w:p w:rsidR="00AE6E35" w:rsidRPr="00AE6E35" w:rsidRDefault="00AE6E35" w:rsidP="00AE6E35">
            <w:pPr>
              <w:rPr>
                <w:sz w:val="18"/>
                <w:szCs w:val="18"/>
                <w:lang w:val="en-US"/>
              </w:rPr>
            </w:pPr>
            <w:r w:rsidRPr="00AE6E35">
              <w:rPr>
                <w:sz w:val="18"/>
                <w:szCs w:val="18"/>
                <w:lang w:val="en-US"/>
              </w:rPr>
              <w:t>Pharmacogenetics in hematology and oncology</w:t>
            </w:r>
          </w:p>
          <w:p w:rsidR="00AE6E35" w:rsidRPr="00AE6E35" w:rsidRDefault="00AE6E35" w:rsidP="00AE6E35">
            <w:pPr>
              <w:rPr>
                <w:sz w:val="18"/>
                <w:szCs w:val="18"/>
                <w:lang w:val="en-US"/>
              </w:rPr>
            </w:pPr>
            <w:r w:rsidRPr="00AE6E35">
              <w:rPr>
                <w:sz w:val="18"/>
                <w:szCs w:val="18"/>
                <w:lang w:val="en-US"/>
              </w:rPr>
              <w:t>Pharmacological research of skeletal musculature - from laboratory to clinical application</w:t>
            </w:r>
          </w:p>
          <w:p w:rsidR="00AE6E35" w:rsidRPr="00AE6E35" w:rsidRDefault="00AE6E35" w:rsidP="00AE6E35">
            <w:pPr>
              <w:rPr>
                <w:sz w:val="18"/>
                <w:szCs w:val="18"/>
                <w:lang w:val="en-US"/>
              </w:rPr>
            </w:pPr>
            <w:r w:rsidRPr="00AE6E35">
              <w:rPr>
                <w:sz w:val="18"/>
                <w:szCs w:val="18"/>
                <w:lang w:val="en-US"/>
              </w:rPr>
              <w:t>Pharmacological modulation of insulin resistance in different conditions</w:t>
            </w:r>
          </w:p>
        </w:tc>
      </w:tr>
      <w:tr w:rsidR="00AE6E35" w:rsidRPr="00AE6E35" w:rsidTr="00AE6E35">
        <w:tc>
          <w:tcPr>
            <w:tcW w:w="9795" w:type="dxa"/>
            <w:gridSpan w:val="4"/>
          </w:tcPr>
          <w:p w:rsidR="00AE6E35" w:rsidRPr="00AE6E35" w:rsidRDefault="00AE6E35" w:rsidP="00373F02">
            <w:pPr>
              <w:rPr>
                <w:b/>
                <w:bCs/>
                <w:sz w:val="18"/>
                <w:szCs w:val="18"/>
                <w:lang w:val="en-US"/>
              </w:rPr>
            </w:pPr>
            <w:r w:rsidRPr="00AE6E35">
              <w:rPr>
                <w:b/>
                <w:bCs/>
                <w:sz w:val="18"/>
                <w:szCs w:val="18"/>
                <w:lang w:val="en-US"/>
              </w:rPr>
              <w:lastRenderedPageBreak/>
              <w:t>References (Literature) – recommended readings:</w:t>
            </w:r>
          </w:p>
          <w:p w:rsidR="00AE6E35" w:rsidRPr="00AE6E35" w:rsidRDefault="00AE6E35" w:rsidP="00AE6E35">
            <w:pPr>
              <w:numPr>
                <w:ilvl w:val="0"/>
                <w:numId w:val="1"/>
              </w:numPr>
              <w:suppressAutoHyphens/>
              <w:overflowPunct w:val="0"/>
              <w:autoSpaceDE/>
              <w:autoSpaceDN/>
              <w:adjustRightInd/>
              <w:jc w:val="both"/>
              <w:rPr>
                <w:sz w:val="18"/>
                <w:szCs w:val="18"/>
              </w:rPr>
            </w:pPr>
            <w:r w:rsidRPr="00AE6E35">
              <w:rPr>
                <w:sz w:val="18"/>
                <w:szCs w:val="18"/>
              </w:rPr>
              <w:t>Katzung B (ed). Basic and Clinical Pharmacology (15th ed). McGraw-Hill Education/Medical, 2020.</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Đukanović N, Obradović S, Zdravković M, Đurašević S, Stojković M, Tosti T, Jasnić N, Đorđević J, Todorović Z. Lipids and Antiplatelet Therapy: Important Considerations and Future Perspectives. Int J Mol Sci. 2021 Mar 20;22(6):3180. doi: 10.3390/ijms22063180.</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Samardzic J. Hencic B, Jancic J, Jadzic D, Djuric M, Obradovic DI, Svob Strac D. Neurosteroid dehydroepiandrosterone improves active avoidance retrieval and induces antidepressant-like behavior in rats. Neurosci Lett. 2017 Nov 1;660:17-21. doi: 10.1016/j.neulet.2017.09.013.</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Dragović G, Dimitrijević B, Kušić J, Soldatović I, Jevtović D, Olagunju A, Owen A. Influence of SLCO1B1 polymorphisms on lopinavir Ctrough in Serbian HIV/AIDS patients. Br J Clin Pharmacol. 2020 Jul;86(7):1289-1295. doi: 10.1111/bcp.14230.</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Vidović V, Maksimović N, Novaković I, Damnjanović T, Jekić B, Vidović S, Majkić Singh N, Stamenković-Radak M, Nikolić D, Marisavljević D. Association of the Brain-derived Neurotrophic Factor Val66Met Polymorphism with Body Mass Index, Fasting Glucose Levels and Lipid Status in Adolescents. Balkan J Med Genet. 2020 Aug 26;23(1):77-82. doi: 10.2478/bjmg-2020-0004.</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Vasić M, Lončar-Turukalo T, Tasić T, Matić M, Glumac S, Bajić D, Popović B, Japundžić-Žigon N. Cardiovascular variability and β-ARs gene expression at two stages of doxorubicin - Induced cardiomyopathy. Toxicol Appl Pharmacol. 2019 Jan 1;362:43-51. doi: 10.1016/j.taap.2018.10.015.</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 xml:space="preserve">Paiva L, Lozic M, Allchorne A, Grinevich V, Ludwig M. Identification of peripheral oxytocin-expressing cells using systemically applied cell-type specific adeno-associated viral vector. J Neuroendocrinol. 2021 May;33(5):e12970. doi: 10.1111/jne.12970. </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Lamberink HJ, Otte WM, Blümcke I, Braun KPJ; European Epilepsy Brain Bank writing group; study group; European Reference Network EpiCARE. Seizure outcome and use of antiepileptic drugs after epilepsy surgery according to histopathological diagnosis: a retrospective multicentre cohort study. Lancet Neurol. 2020 Sep;19(9):748-757. doi: 10.1016/S1474-4422(20)30220-9.</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Duddy M, Haghikia A, Cocco E, Eggers C, Drulovic J, Carmona O, Zéphir H, Gold R. Managing MS in a changing treatment landscape. J Neurol. 2011 May;258(5):728-39. doi: 10.1007/s00415-011-6009-x.</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Lamberink HJ, Otte WM, Blümcke I, Braun KPJ; European Epilepsy Brain Bank writing group; study group; European Reference Network EpiCARE. Seizure outcome and use of antiepileptic drugs after epilepsy surgery according to histopathological diagnosis: a retrospective multicentre cohort study. Lancet Neurol. 2020 Sep;19(9):748-757. doi: 10.1016/S1474-4422(20)30220-9.</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Prostran M, Vujović KS, Vučković S, Medić B, Srebro D, Divac N, Stojanović R, Vujović A, Jovanović L, Jotić A, Cerovac N. Pharmacotherapy of Pain in the Older Population: The Place of Opioids. Front Aging Neurosci. 2016 Jun 16;8:144. doi: 10.3389/fnagi.2016.00144.</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Díez CC, Khalil F, Makowski N, Schwender H, Jovanovic I, Dalinghaus M, Walsh J, van der Meulen M, Bajcetic M, de Wildt SN, Läer S. Pharmacotherapy in paediatric heart failure: a Delphi process. Cardiol Young. 2019 Jul;29(7):869-876. doi: 10.1017/S1047951119000660.</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Šuljagić V, Bajčetić M, Mioljević V, Dragovac G, Mijović B, Janićijević I, Đorđević Z, Krtinić G, Rakić V, Ćirković I, Nikolić V, Marković-Denić L. A nationwide assessment of the burden of healthcare-associated infections and antimicrobial use among surgical patients: results from Serbian point prevalence survey, 2017. Antimicrob Resist Infect Control. 2021 Mar 6;10(1):47. doi: 10.1186/s13756-021-00889-9.</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Diener HC, Sacco RL, Easton JD, Granger CB, Bernstein RA, Uchiyama S, Kreuzer J, Cronin L, Cotton D, Grauer C, Brueckmann M, Chernyatina M, Donnan G, Ferro JM, Grond M, Kallmünzer B, Krupinski J, Lee BC, Lemmens R, Masjuan J, Odinak M, Saver JL, Schellinger PD, Toni D, Toyoda K; RE-SPECT ESUS Steering Committee and Investigators. Dabigatran for Prevention of Stroke after Embolic Stroke of Undetermined Source. N Engl J Med. 2019 May 16;380(20):1906-1917. doi: 10.1056/NEJMoa1813959.</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Medić B, Stojanović M, Rovčanin B, Kekić D, Škodrić SR, Jovanović GB, Vujović KS, Divac N, Stojanović R, Radenković M, Prostran M. Pioglitazone attenuates kidney injury in an experimental model of gentamicin-induced nephrotoxicity in rats. Sci Rep. 2019 Sep 23;9(1):13689. doi: 10.1038/s41598-019-49835-1.</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Radenković M, Stojanović M, Prostran M. Calcium Channel Blockers in Restoration of Endothelial Function: Systematic Review and Meta-Analysis of Randomized Controlled Trials. Curr Med Chem. 2019;26(29):5579-5595. doi: 10.2174/0929867325666180713144806.</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Rajkovic J, Djokic V, Gostimirovic M, Gojkovic-Bukarica L, Martorell M, Sharifi-Rad J, Novakovic R. Potassium channels on smooth muscle as a molecular target for plant-derived Resveratrol. Cell Mol Biol (Noisy-le-grand). 2020 Jun 25;66(4):133-144.</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Marjanović DS, Zdravković N, Milovanović M, Trailović JN, Robertson AP, Todorović Z, Trailović SM. Carvacrol acts as a potent selective antagonist of different types of nicotinic acetylcholine receptors and enhances the effect of monepantel in the parasitic nematode Ascaris suum. Vet Parasitol. 2020 Feb;278:109031. doi: 10.1016/j.vetpar.2020.109031.</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Pandurevic S, Macut D, Fanelli F, Pagotto U, Gambineri A. Biomediators in Polycystic Ovary Syndrome and Cardiovascular Risk. Biomolecules. 2021 Sep 12;11(9):1350. doi: 10.3390/biom11091350.</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Jovanović M, van Dorp SM, Drakulović M, Papić D, Pavić S, Jovanović S, Lešić A, Korać M, Milošević I, Kuijper EJ. A pilot study in Serbia by European Clostridium difficile Infection Surveillance Network. Acta Microbiol Immunol Hung. 2019 Dec 9;67(1):42-48. doi: 10.1556/030.66.2019.023.</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 xml:space="preserve">Erickson CA, Davenport MH, Schaefer TL, Wink LK, Pedapati EV, Sweeney JA, Fitzpatrick SE, Brown WT, Budimirovic D, Hagerman RJ, Hessl D, Kaufmann WE, Berry-Kravis E. Fragile X targeted pharmacotherapy: lessons learned and future directions. J Neurodev Disord. 2017 Jun 12;9:7. doi: 10.1186/s11689-017-9186-9. </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lastRenderedPageBreak/>
              <w:t xml:space="preserve">Erickson CA, Davenport MH, Schaefer TL, Wink LK, Pedapati EV, Sweeney JA, Fitzpatrick SE, Brown WT, Budimirovic D, Hagerman RJ, Hessl D, Kaufmann WE, Berry-Kravis E. Fragile X targeted pharmacotherapy: lessons learned and future directions. J Neurodev Disord. 2017 Jun 12;9:7. doi: 10.1186/s11689-017-9186-9. </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Protic D, Salcedo-Arellano MJ, Dy JB, Potter LA, Hagerman RJ. New Targeted Treatments for Fragile X Syndrome. Curr Pediatr Rev. 2019;15(4):251-258. doi: 10.2174/1573396315666190625110748.</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Divac N, Stojanović R, Savić Vujović K, Medić B, Damjanović A, Prostran M. The Efficacy and Safety of Antipsychotic Medications in the Treatment of Psychosis in Patients with Parkinson's Disease. Behav Neurol. 2016;2016:4938154. doi: 10.1155/2016/4938154.</w:t>
            </w:r>
          </w:p>
          <w:p w:rsidR="00AE6E35" w:rsidRPr="00AE6E35" w:rsidRDefault="00AE6E35" w:rsidP="00AE6E35">
            <w:pPr>
              <w:numPr>
                <w:ilvl w:val="0"/>
                <w:numId w:val="1"/>
              </w:numPr>
              <w:suppressAutoHyphens/>
              <w:overflowPunct w:val="0"/>
              <w:autoSpaceDE/>
              <w:autoSpaceDN/>
              <w:adjustRightInd/>
              <w:jc w:val="both"/>
              <w:rPr>
                <w:bCs/>
                <w:sz w:val="18"/>
                <w:szCs w:val="18"/>
              </w:rPr>
            </w:pPr>
            <w:r w:rsidRPr="00AE6E35">
              <w:rPr>
                <w:bCs/>
                <w:sz w:val="18"/>
                <w:szCs w:val="18"/>
              </w:rPr>
              <w:t>Samardzic J, Allegaert K, Wilbaux M, Pfister M, van den Anker JN. Quantitative clinical pharmacology practice for optimal use of antibiotics during the neonatal period. Expert Opin Drug Metab Toxicol. 2016;12(4):367-75. doi: 10.1517/17425255.2016.1147559.</w:t>
            </w:r>
          </w:p>
          <w:p w:rsidR="00AE6E35" w:rsidRPr="00AE6E35" w:rsidRDefault="00AE6E35" w:rsidP="00AE6E35">
            <w:pPr>
              <w:rPr>
                <w:b/>
                <w:bCs/>
                <w:sz w:val="18"/>
                <w:szCs w:val="18"/>
                <w:lang w:val="en-US"/>
              </w:rPr>
            </w:pPr>
            <w:r w:rsidRPr="00AE6E35">
              <w:rPr>
                <w:bCs/>
                <w:sz w:val="18"/>
                <w:szCs w:val="18"/>
              </w:rPr>
              <w:t xml:space="preserve">       26. </w:t>
            </w:r>
            <w:r w:rsidRPr="00AE6E35">
              <w:rPr>
                <w:bCs/>
                <w:sz w:val="18"/>
                <w:szCs w:val="18"/>
              </w:rPr>
              <w:t>Jančić J, Nikolić B, Ivančević N, Henčić B, Samardžić J. Multiple Sclerosis T</w:t>
            </w:r>
            <w:r>
              <w:rPr>
                <w:bCs/>
                <w:sz w:val="18"/>
                <w:szCs w:val="18"/>
              </w:rPr>
              <w:t>herapies in Pediatric Patients:</w:t>
            </w:r>
            <w:r w:rsidRPr="00AE6E35">
              <w:rPr>
                <w:bCs/>
                <w:sz w:val="18"/>
                <w:szCs w:val="18"/>
              </w:rPr>
              <w:t xml:space="preserve"> </w:t>
            </w:r>
            <w:r w:rsidRPr="00AE6E35">
              <w:rPr>
                <w:bCs/>
                <w:sz w:val="18"/>
                <w:szCs w:val="18"/>
              </w:rPr>
              <w:t xml:space="preserve">Challenges </w:t>
            </w:r>
            <w:r>
              <w:rPr>
                <w:bCs/>
                <w:sz w:val="18"/>
                <w:szCs w:val="18"/>
              </w:rPr>
              <w:t xml:space="preserve">  </w:t>
            </w:r>
            <w:r w:rsidRPr="00AE6E35">
              <w:rPr>
                <w:bCs/>
                <w:sz w:val="18"/>
                <w:szCs w:val="18"/>
              </w:rPr>
              <w:t>and Opportunities. In: Zagon IS, McLaughlin PJ, editors. Multiple Sclerosis: Perspectives in Treatment and Pathogenesis [Internet]. Brisbane (AU): Codon Publications; 2017 Nov 27. Chapter 3.</w:t>
            </w:r>
          </w:p>
        </w:tc>
      </w:tr>
      <w:tr w:rsidR="00AE6E35" w:rsidRPr="00AE6E35" w:rsidTr="00AE6E35">
        <w:tc>
          <w:tcPr>
            <w:tcW w:w="4526" w:type="dxa"/>
            <w:tcBorders>
              <w:right w:val="nil"/>
            </w:tcBorders>
          </w:tcPr>
          <w:p w:rsidR="00AE6E35" w:rsidRPr="00AE6E35" w:rsidRDefault="00AE6E35" w:rsidP="00373F02">
            <w:pPr>
              <w:rPr>
                <w:b/>
                <w:bCs/>
                <w:sz w:val="18"/>
                <w:szCs w:val="18"/>
                <w:lang w:val="en-US"/>
              </w:rPr>
            </w:pPr>
            <w:r w:rsidRPr="00AE6E35">
              <w:rPr>
                <w:b/>
                <w:bCs/>
                <w:sz w:val="18"/>
                <w:szCs w:val="18"/>
                <w:lang w:val="en-US"/>
              </w:rPr>
              <w:lastRenderedPageBreak/>
              <w:t>Number of teaching hours under supervision</w:t>
            </w:r>
            <w:r w:rsidRPr="00AE6E35">
              <w:rPr>
                <w:b/>
                <w:bCs/>
                <w:sz w:val="18"/>
                <w:szCs w:val="18"/>
                <w:lang w:val="en-US"/>
              </w:rPr>
              <w:t xml:space="preserve"> 3</w:t>
            </w:r>
          </w:p>
        </w:tc>
        <w:tc>
          <w:tcPr>
            <w:tcW w:w="1565" w:type="dxa"/>
            <w:tcBorders>
              <w:right w:val="nil"/>
            </w:tcBorders>
          </w:tcPr>
          <w:p w:rsidR="00AE6E35" w:rsidRPr="00AE6E35" w:rsidRDefault="00AE6E35" w:rsidP="00373F02">
            <w:pPr>
              <w:rPr>
                <w:b/>
                <w:bCs/>
                <w:sz w:val="18"/>
                <w:szCs w:val="18"/>
                <w:lang w:val="en-US"/>
              </w:rPr>
            </w:pPr>
            <w:r w:rsidRPr="00AE6E35">
              <w:rPr>
                <w:b/>
                <w:bCs/>
                <w:sz w:val="18"/>
                <w:szCs w:val="18"/>
                <w:lang w:val="en-US"/>
              </w:rPr>
              <w:t>Lectures:</w:t>
            </w:r>
            <w:r w:rsidRPr="00AE6E35">
              <w:rPr>
                <w:b/>
                <w:bCs/>
                <w:sz w:val="18"/>
                <w:szCs w:val="18"/>
                <w:lang w:val="en-US"/>
              </w:rPr>
              <w:t xml:space="preserve"> 3</w:t>
            </w:r>
          </w:p>
        </w:tc>
        <w:tc>
          <w:tcPr>
            <w:tcW w:w="1895" w:type="dxa"/>
            <w:tcBorders>
              <w:right w:val="nil"/>
            </w:tcBorders>
          </w:tcPr>
          <w:p w:rsidR="00AE6E35" w:rsidRPr="00AE6E35" w:rsidRDefault="00AE6E35" w:rsidP="00373F02">
            <w:pPr>
              <w:rPr>
                <w:b/>
                <w:bCs/>
                <w:sz w:val="18"/>
                <w:szCs w:val="18"/>
                <w:lang w:val="en-US"/>
              </w:rPr>
            </w:pPr>
            <w:r w:rsidRPr="00AE6E35">
              <w:rPr>
                <w:b/>
                <w:bCs/>
                <w:sz w:val="18"/>
                <w:szCs w:val="18"/>
                <w:lang w:val="en-US"/>
              </w:rPr>
              <w:t xml:space="preserve">Research </w:t>
            </w:r>
            <w:r w:rsidRPr="00AE6E35">
              <w:rPr>
                <w:b/>
                <w:bCs/>
                <w:sz w:val="18"/>
                <w:szCs w:val="18"/>
                <w:lang w:val="en-US"/>
              </w:rPr>
              <w:t>work:</w:t>
            </w:r>
            <w:r w:rsidRPr="00AE6E35">
              <w:rPr>
                <w:b/>
                <w:bCs/>
                <w:sz w:val="18"/>
                <w:szCs w:val="18"/>
                <w:lang w:val="en-US"/>
              </w:rPr>
              <w:t xml:space="preserve"> 6</w:t>
            </w:r>
          </w:p>
        </w:tc>
        <w:tc>
          <w:tcPr>
            <w:tcW w:w="1809" w:type="dxa"/>
            <w:tcBorders>
              <w:left w:val="nil"/>
            </w:tcBorders>
          </w:tcPr>
          <w:p w:rsidR="00AE6E35" w:rsidRPr="00AE6E35" w:rsidRDefault="00AE6E35" w:rsidP="00373F02">
            <w:pPr>
              <w:rPr>
                <w:b/>
                <w:bCs/>
                <w:sz w:val="18"/>
                <w:szCs w:val="18"/>
                <w:lang w:val="ru-RU"/>
              </w:rPr>
            </w:pPr>
          </w:p>
        </w:tc>
      </w:tr>
      <w:tr w:rsidR="00AE6E35" w:rsidRPr="00AE6E35" w:rsidTr="00AE6E35">
        <w:trPr>
          <w:trHeight w:val="506"/>
        </w:trPr>
        <w:tc>
          <w:tcPr>
            <w:tcW w:w="9795" w:type="dxa"/>
            <w:gridSpan w:val="4"/>
            <w:tcBorders>
              <w:left w:val="single" w:sz="4" w:space="0" w:color="auto"/>
              <w:bottom w:val="single" w:sz="4" w:space="0" w:color="auto"/>
            </w:tcBorders>
          </w:tcPr>
          <w:p w:rsidR="00AE6E35" w:rsidRPr="00AE6E35" w:rsidRDefault="00AE6E35" w:rsidP="00373F02">
            <w:pPr>
              <w:jc w:val="both"/>
              <w:rPr>
                <w:b/>
                <w:bCs/>
                <w:sz w:val="18"/>
                <w:szCs w:val="18"/>
                <w:lang w:val="en-US"/>
              </w:rPr>
            </w:pPr>
            <w:r w:rsidRPr="00AE6E35">
              <w:rPr>
                <w:b/>
                <w:bCs/>
                <w:sz w:val="18"/>
                <w:szCs w:val="18"/>
                <w:lang w:val="en-US"/>
              </w:rPr>
              <w:t>Teaching methods</w:t>
            </w:r>
            <w:r w:rsidRPr="00AE6E35">
              <w:rPr>
                <w:b/>
                <w:bCs/>
                <w:sz w:val="18"/>
                <w:szCs w:val="18"/>
                <w:lang w:val="sr-Cyrl-CS"/>
              </w:rPr>
              <w:t>.</w:t>
            </w:r>
          </w:p>
          <w:p w:rsidR="00AE6E35" w:rsidRPr="00AE6E35" w:rsidRDefault="00AE6E35" w:rsidP="00373F02">
            <w:pPr>
              <w:jc w:val="both"/>
              <w:rPr>
                <w:bCs/>
                <w:sz w:val="18"/>
                <w:szCs w:val="18"/>
                <w:lang w:val="en-US"/>
              </w:rPr>
            </w:pPr>
            <w:r w:rsidRPr="00AE6E35">
              <w:rPr>
                <w:bCs/>
                <w:sz w:val="18"/>
                <w:szCs w:val="18"/>
                <w:lang w:val="en-US"/>
              </w:rPr>
              <w:t>contact classes, seminars, practical work in the laboratory</w:t>
            </w:r>
          </w:p>
        </w:tc>
      </w:tr>
      <w:tr w:rsidR="00AE6E35" w:rsidRPr="00AE6E35" w:rsidTr="00AE6E35">
        <w:tc>
          <w:tcPr>
            <w:tcW w:w="9795" w:type="dxa"/>
            <w:gridSpan w:val="4"/>
          </w:tcPr>
          <w:p w:rsidR="00AE6E35" w:rsidRPr="00AE6E35" w:rsidRDefault="00AE6E35" w:rsidP="00373F02">
            <w:pPr>
              <w:tabs>
                <w:tab w:val="left" w:pos="1905"/>
              </w:tabs>
              <w:jc w:val="center"/>
              <w:rPr>
                <w:b/>
                <w:bCs/>
                <w:sz w:val="18"/>
                <w:szCs w:val="18"/>
                <w:lang w:val="ru-RU"/>
              </w:rPr>
            </w:pPr>
            <w:r w:rsidRPr="00AE6E35">
              <w:rPr>
                <w:b/>
                <w:bCs/>
                <w:sz w:val="18"/>
                <w:szCs w:val="18"/>
                <w:lang w:val="en-US"/>
              </w:rPr>
              <w:t>Assessment of students</w:t>
            </w:r>
            <w:r w:rsidRPr="00AE6E35">
              <w:rPr>
                <w:b/>
                <w:bCs/>
                <w:sz w:val="18"/>
                <w:szCs w:val="18"/>
                <w:lang w:val="sr-Cyrl-CS"/>
              </w:rPr>
              <w:t xml:space="preserve"> (</w:t>
            </w:r>
            <w:r w:rsidRPr="00AE6E35">
              <w:rPr>
                <w:b/>
                <w:bCs/>
                <w:sz w:val="18"/>
                <w:szCs w:val="18"/>
                <w:lang w:val="en-US"/>
              </w:rPr>
              <w:t>maximum number of points is</w:t>
            </w:r>
            <w:r w:rsidRPr="00AE6E35">
              <w:rPr>
                <w:b/>
                <w:bCs/>
                <w:sz w:val="18"/>
                <w:szCs w:val="18"/>
                <w:lang w:val="sr-Cyrl-CS"/>
              </w:rPr>
              <w:t xml:space="preserve"> 100)</w:t>
            </w:r>
          </w:p>
        </w:tc>
      </w:tr>
      <w:tr w:rsidR="00AE6E35" w:rsidRPr="00AE6E35" w:rsidTr="00AE6E35">
        <w:trPr>
          <w:trHeight w:val="519"/>
        </w:trPr>
        <w:tc>
          <w:tcPr>
            <w:tcW w:w="9795" w:type="dxa"/>
            <w:gridSpan w:val="4"/>
          </w:tcPr>
          <w:p w:rsidR="00AE6E35" w:rsidRPr="00AE6E35" w:rsidRDefault="00AE6E35" w:rsidP="00373F02">
            <w:pPr>
              <w:rPr>
                <w:iCs/>
                <w:sz w:val="18"/>
                <w:szCs w:val="18"/>
                <w:lang w:val="en-US"/>
              </w:rPr>
            </w:pPr>
            <w:r w:rsidRPr="00AE6E35">
              <w:rPr>
                <w:sz w:val="18"/>
                <w:szCs w:val="18"/>
                <w:lang w:val="en-US"/>
              </w:rPr>
              <w:t>It is formed on the basis of the sum of active participation in the preparation and conduct of seminars (30%), regular and active attendance of classes and work in the laboratory (15%) and the final written test (55%).</w:t>
            </w:r>
          </w:p>
        </w:tc>
      </w:tr>
    </w:tbl>
    <w:p w:rsidR="007015FB" w:rsidRDefault="007015FB"/>
    <w:sectPr w:rsidR="007015FB" w:rsidSect="00636CFA">
      <w:pgSz w:w="12240" w:h="15840"/>
      <w:pgMar w:top="902"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DF0784"/>
    <w:multiLevelType w:val="multilevel"/>
    <w:tmpl w:val="2250B1FC"/>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E35"/>
    <w:rsid w:val="007015FB"/>
    <w:rsid w:val="007E7596"/>
    <w:rsid w:val="00AE6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C75FE8-D077-416A-B40C-C94873213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E35"/>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87644">
      <w:bodyDiv w:val="1"/>
      <w:marLeft w:val="0"/>
      <w:marRight w:val="0"/>
      <w:marTop w:val="0"/>
      <w:marBottom w:val="0"/>
      <w:divBdr>
        <w:top w:val="none" w:sz="0" w:space="0" w:color="auto"/>
        <w:left w:val="none" w:sz="0" w:space="0" w:color="auto"/>
        <w:bottom w:val="none" w:sz="0" w:space="0" w:color="auto"/>
        <w:right w:val="none" w:sz="0" w:space="0" w:color="auto"/>
      </w:divBdr>
    </w:div>
    <w:div w:id="313223035">
      <w:bodyDiv w:val="1"/>
      <w:marLeft w:val="0"/>
      <w:marRight w:val="0"/>
      <w:marTop w:val="0"/>
      <w:marBottom w:val="0"/>
      <w:divBdr>
        <w:top w:val="none" w:sz="0" w:space="0" w:color="auto"/>
        <w:left w:val="none" w:sz="0" w:space="0" w:color="auto"/>
        <w:bottom w:val="none" w:sz="0" w:space="0" w:color="auto"/>
        <w:right w:val="none" w:sz="0" w:space="0" w:color="auto"/>
      </w:divBdr>
    </w:div>
    <w:div w:id="383261174">
      <w:bodyDiv w:val="1"/>
      <w:marLeft w:val="0"/>
      <w:marRight w:val="0"/>
      <w:marTop w:val="0"/>
      <w:marBottom w:val="0"/>
      <w:divBdr>
        <w:top w:val="none" w:sz="0" w:space="0" w:color="auto"/>
        <w:left w:val="none" w:sz="0" w:space="0" w:color="auto"/>
        <w:bottom w:val="none" w:sz="0" w:space="0" w:color="auto"/>
        <w:right w:val="none" w:sz="0" w:space="0" w:color="auto"/>
      </w:divBdr>
    </w:div>
    <w:div w:id="675419111">
      <w:bodyDiv w:val="1"/>
      <w:marLeft w:val="0"/>
      <w:marRight w:val="0"/>
      <w:marTop w:val="0"/>
      <w:marBottom w:val="0"/>
      <w:divBdr>
        <w:top w:val="none" w:sz="0" w:space="0" w:color="auto"/>
        <w:left w:val="none" w:sz="0" w:space="0" w:color="auto"/>
        <w:bottom w:val="none" w:sz="0" w:space="0" w:color="auto"/>
        <w:right w:val="none" w:sz="0" w:space="0" w:color="auto"/>
      </w:divBdr>
    </w:div>
    <w:div w:id="985207750">
      <w:bodyDiv w:val="1"/>
      <w:marLeft w:val="0"/>
      <w:marRight w:val="0"/>
      <w:marTop w:val="0"/>
      <w:marBottom w:val="0"/>
      <w:divBdr>
        <w:top w:val="none" w:sz="0" w:space="0" w:color="auto"/>
        <w:left w:val="none" w:sz="0" w:space="0" w:color="auto"/>
        <w:bottom w:val="none" w:sz="0" w:space="0" w:color="auto"/>
        <w:right w:val="none" w:sz="0" w:space="0" w:color="auto"/>
      </w:divBdr>
    </w:div>
    <w:div w:id="1190293513">
      <w:bodyDiv w:val="1"/>
      <w:marLeft w:val="0"/>
      <w:marRight w:val="0"/>
      <w:marTop w:val="0"/>
      <w:marBottom w:val="0"/>
      <w:divBdr>
        <w:top w:val="none" w:sz="0" w:space="0" w:color="auto"/>
        <w:left w:val="none" w:sz="0" w:space="0" w:color="auto"/>
        <w:bottom w:val="none" w:sz="0" w:space="0" w:color="auto"/>
        <w:right w:val="none" w:sz="0" w:space="0" w:color="auto"/>
      </w:divBdr>
    </w:div>
    <w:div w:id="1213812898">
      <w:bodyDiv w:val="1"/>
      <w:marLeft w:val="0"/>
      <w:marRight w:val="0"/>
      <w:marTop w:val="0"/>
      <w:marBottom w:val="0"/>
      <w:divBdr>
        <w:top w:val="none" w:sz="0" w:space="0" w:color="auto"/>
        <w:left w:val="none" w:sz="0" w:space="0" w:color="auto"/>
        <w:bottom w:val="none" w:sz="0" w:space="0" w:color="auto"/>
        <w:right w:val="none" w:sz="0" w:space="0" w:color="auto"/>
      </w:divBdr>
    </w:div>
    <w:div w:id="209265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1907</Words>
  <Characters>10871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Bukarica</dc:creator>
  <cp:keywords/>
  <dc:description/>
  <cp:lastModifiedBy>Bukarica</cp:lastModifiedBy>
  <cp:revision>1</cp:revision>
  <dcterms:created xsi:type="dcterms:W3CDTF">2021-11-19T07:54:00Z</dcterms:created>
  <dcterms:modified xsi:type="dcterms:W3CDTF">2021-11-19T08:13:00Z</dcterms:modified>
</cp:coreProperties>
</file>